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officeDocument/2006/relationships/extended-properties" Target="docProps/app.xml"/><Relationship Id="rId3"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Heading1"/>
      </w:pPr>
      <w:r>
        <w:t xml:space="preserve">KTSC Parent Guidelines – Junior Competitive Tennis</w:t>
      </w:r>
    </w:p>
    <w:p>
      <w:pPr/>
      <w:r>
        <w:t xml:space="preserve">Competitive tennis is a fantastic opportunity for our junior players to develop their tennis, but also to learn independence, resilience, sportsmanship and how to handle the ups and downs that come with competition.</w:t>
      </w:r>
    </w:p>
    <w:p>
      <w:pPr/>
      <w:r>
        <w:t xml:space="preserve">Parents and caregivers play an important role in creating a positive environment around junior tennis. These guidelines apply to interclub, tournaments, Club Champs and other competitive matches involving KTSC junior players.</w:t>
      </w:r>
    </w:p>
    <w:p>
      <w:pPr>
        <w:pStyle w:val="Heading2"/>
      </w:pPr>
      <w:r>
        <w:t xml:space="preserve">1. Let the players play</w:t>
      </w:r>
    </w:p>
    <w:p>
      <w:pPr/>
      <w:r>
        <w:t xml:space="preserve">Once a match begins, the court belongs to the players.</w:t>
      </w:r>
    </w:p>
    <w:p>
      <w:pPr/>
      <w:r>
        <w:t xml:space="preserve">Please allow players to make their own decisions, call their own lines, keep score and work through normal disagreements themselves. Parents should not call balls in or out, correct the score from the sideline or become involved in disputes between players.</w:t>
      </w:r>
    </w:p>
    <w:p>
      <w:pPr/>
      <w:r>
        <w:t xml:space="preserve">If players genuinely cannot resolve an issue, they should seek assistance from the team manager, tournament official or appropriate person overseeing the competition.</w:t>
      </w:r>
    </w:p>
    <w:p>
      <w:pPr/>
      <w:r>
        <w:t xml:space="preserve">Learning to manage these situations is an important part of becoming a confident competitive player.</w:t>
      </w:r>
    </w:p>
    <w:p>
      <w:pPr>
        <w:pStyle w:val="Heading2"/>
      </w:pPr>
      <w:r>
        <w:t xml:space="preserve">2. Support rather than coach</w:t>
      </w:r>
    </w:p>
    <w:p>
      <w:pPr/>
      <w:r>
        <w:t xml:space="preserve">Parents are encouraged to watch, applaud good tennis and provide positive support.</w:t>
      </w:r>
    </w:p>
    <w:p>
      <w:pPr/>
      <w:r>
        <w:t xml:space="preserve">Please avoid giving tactical or technical advice during matches, including between points or from the sideline. Even well-intentioned advice can add pressure and distract players from learning to problem-solve for themselves.</w:t>
      </w:r>
    </w:p>
    <w:p>
      <w:pPr/>
      <w:r>
        <w:t xml:space="preserve">A simple "Come on", "Keep going" or "Well played" is usually all that is needed.</w:t>
      </w:r>
    </w:p>
    <w:p>
      <w:pPr>
        <w:pStyle w:val="Heading2"/>
      </w:pPr>
      <w:r>
        <w:t xml:space="preserve">3. Keep the focus on more than the result</w:t>
      </w:r>
    </w:p>
    <w:p>
      <w:pPr/>
      <w:r>
        <w:t xml:space="preserve">Winning is great, but it isn't the only measure of a successful match.</w:t>
      </w:r>
    </w:p>
    <w:p>
      <w:pPr/>
      <w:r>
        <w:t xml:space="preserve">We encourage parents to recognise things such as effort, attitude, problem-solving, sportsmanship, competing hard and trying to apply things the player has been working on.</w:t>
      </w:r>
    </w:p>
    <w:p>
      <w:pPr/>
      <w:r>
        <w:t xml:space="preserve">After a match, giving your child a little time before analysing what happened can also be helpful. Sometimes the best first question is simply:</w:t>
      </w:r>
    </w:p>
    <w:p>
      <w:pPr/>
      <w:r>
        <w:t xml:space="preserve">"Did you enjoy playing?"</w:t>
      </w:r>
    </w:p>
    <w:p>
      <w:pPr>
        <w:pStyle w:val="Heading2"/>
      </w:pPr>
      <w:r>
        <w:t xml:space="preserve">4. Respect opponents and their families</w:t>
      </w:r>
    </w:p>
    <w:p>
      <w:pPr/>
      <w:r>
        <w:t xml:space="preserve">Please support good tennis from both sides of the net.</w:t>
      </w:r>
    </w:p>
    <w:p>
      <w:pPr/>
      <w:r>
        <w:t xml:space="preserve">Avoid commenting negatively about an opponent, their ability, line calls, behaviour or their parents. Our players notice how adults behave, and we want KTSC families to model the sportsmanship we expect from our juniors.</w:t>
      </w:r>
    </w:p>
    <w:p>
      <w:pPr/>
      <w:r>
        <w:t xml:space="preserve">At interclub in particular, we want visiting teams and families to feel welcome at KTSC.</w:t>
      </w:r>
    </w:p>
    <w:p>
      <w:pPr>
        <w:pStyle w:val="Heading2"/>
      </w:pPr>
      <w:r>
        <w:t xml:space="preserve">5. Allow children to deal with line calls</w:t>
      </w:r>
    </w:p>
    <w:p>
      <w:pPr/>
      <w:r>
        <w:t xml:space="preserve">Players are responsible for calling the ball on their side of the court.</w:t>
      </w:r>
    </w:p>
    <w:p>
      <w:pPr/>
      <w:r>
        <w:t xml:space="preserve">Parents and spectators often have a different viewing angle and should not become involved in line calls — even when you are certain you saw the ball differently.</w:t>
      </w:r>
    </w:p>
    <w:p>
      <w:pPr/>
      <w:r>
        <w:t xml:space="preserve">If there is a repeated or serious problem, raise it quietly with the appropriate team manager or official rather than becoming involved directly with the players.</w:t>
      </w:r>
    </w:p>
    <w:p>
      <w:pPr>
        <w:pStyle w:val="Heading2"/>
      </w:pPr>
      <w:r>
        <w:t xml:space="preserve">6. Remember that junior players are still learning</w:t>
      </w:r>
    </w:p>
    <w:p>
      <w:pPr/>
      <w:r>
        <w:t xml:space="preserve">Competitive tennis can be challenging. Players will make mistakes, lose matches they might have expected to win, become frustrated and sometimes make poor decisions.</w:t>
      </w:r>
    </w:p>
    <w:p>
      <w:pPr/>
      <w:r>
        <w:t xml:space="preserve">These experiences are part of learning to compete.</w:t>
      </w:r>
    </w:p>
    <w:p>
      <w:pPr/>
      <w:r>
        <w:t xml:space="preserve">We want our juniors to know that their parents, teammates and Club support them regardless of the score.</w:t>
      </w:r>
    </w:p>
    <w:p>
      <w:pPr>
        <w:pStyle w:val="Heading2"/>
      </w:pPr>
      <w:r>
        <w:t xml:space="preserve">7. Be mindful of ratings and rankings</w:t>
      </w:r>
    </w:p>
    <w:p>
      <w:pPr/>
      <w:r>
        <w:t xml:space="preserve">WTN, rankings and match results can be useful indicators of progress, but they shouldn't dominate conversations around junior tennis.</w:t>
      </w:r>
    </w:p>
    <w:p>
      <w:pPr/>
      <w:r>
        <w:t xml:space="preserve">Ratings will move up and down. Players will sometimes beat someone with a stronger rating and lose to someone with a weaker one.</w:t>
      </w:r>
    </w:p>
    <w:p>
      <w:pPr/>
      <w:r>
        <w:t xml:space="preserve">Our focus should be on long-term development rather than what happens to a number after an individual match.</w:t>
      </w:r>
    </w:p>
    <w:p>
      <w:pPr>
        <w:pStyle w:val="Heading2"/>
      </w:pPr>
      <w:r>
        <w:t xml:space="preserve">8. Encourage being a good teammate</w:t>
      </w:r>
    </w:p>
    <w:p>
      <w:pPr/>
      <w:r>
        <w:t xml:space="preserve">Interclub is different from an individual tournament — players are representing KTSC and their team.</w:t>
      </w:r>
    </w:p>
    <w:p>
      <w:pPr/>
      <w:r>
        <w:t xml:space="preserve">We encourage players to support teammates, stay engaged while others are playing, celebrate each other's successes and handle wins and losses well.</w:t>
      </w:r>
    </w:p>
    <w:p>
      <w:pPr/>
      <w:r>
        <w:t xml:space="preserve">Parents can reinforce the message that every member of the team contributes, regardless of where they play in the team or whether they win their individual match.</w:t>
      </w:r>
    </w:p>
    <w:p>
      <w:pPr>
        <w:pStyle w:val="Heading2"/>
      </w:pPr>
      <w:r>
        <w:t xml:space="preserve">9. Leave tennis disagreements at the court</w:t>
      </w:r>
    </w:p>
    <w:p>
      <w:pPr/>
      <w:r>
        <w:t xml:space="preserve">Occasionally there will be disagreements about scoring, line calls, team selections, playing order or other aspects of competition.</w:t>
      </w:r>
    </w:p>
    <w:p>
      <w:pPr/>
      <w:r>
        <w:t xml:space="preserve">If you have a concern, please raise it calmly with the appropriate team manager, Junior Convenor or Club Manager rather than discussing it with other children or confronting another parent or player.</w:t>
      </w:r>
    </w:p>
    <w:p>
      <w:pPr/>
      <w:r>
        <w:t xml:space="preserve">We are always happy to talk through genuine concerns.</w:t>
      </w:r>
    </w:p>
    <w:p>
      <w:pPr>
        <w:pStyle w:val="Heading2"/>
      </w:pPr>
      <w:r>
        <w:t xml:space="preserve">10. Above all, help keep tennis enjoyable</w:t>
      </w:r>
    </w:p>
    <w:p>
      <w:pPr/>
      <w:r>
        <w:t xml:space="preserve">We want our juniors to love playing tennis and want to keep playing.</w:t>
      </w:r>
    </w:p>
    <w:p>
      <w:pPr/>
      <w:r>
        <w:t xml:space="preserve">Competitive tennis inevitably brings pressure, disappointment and nerves alongside some fantastic moments. As adults, one of the most valuable things we can do is help keep those experiences in perspective.</w:t>
      </w:r>
    </w:p>
    <w:p>
      <w:pPr/>
      <w:r>
        <w:t xml:space="preserve">Support them. Encourage them. Let them compete. Let them learn. And enjoy watching them play.</w:t>
      </w:r>
    </w:p>
    <w:sectPr>
      <w:pgSz w:w="12240" w:h="15840"/>
      <w:pgMar w:top="1440" w:right="1440" w:bottom="1440" w:left="1440" w:header="720" w:footer="720" w:gutter="0"/>
    </w:sectPr>
  </w:body>
</w:document>
</file>

<file path=word/numbering.xml><?xml version="1.0" encoding="utf-8"?>
<w:numbering xmlns:w="http://schemas.openxmlformats.org/wordprocessingml/2006/main">
  <w:abstractNum w:abstractNumId="0">
    <w:multiLevelType w:val="hybridMultilevel"/>
    <w:lvl w:ilvl="0">
      <w:start w:val="1"/>
      <w:numFmt w:val="bullet"/>
      <w:lvlText w:val="•"/>
      <w:lvlJc w:val="left"/>
      <w:pPr>
        <w:ind w:left="720" w:hanging="360"/>
      </w:pPr>
    </w:lvl>
    <w:lvl w:ilvl="1">
      <w:start w:val="1"/>
      <w:numFmt w:val="bullet"/>
      <w:lvlText w:val="o"/>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o"/>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o"/>
      <w:lvlJc w:val="left"/>
      <w:pPr>
        <w:ind w:left="5760" w:hanging="360"/>
      </w:pPr>
    </w:lvl>
    <w:lvl w:ilvl="8">
      <w:start w:val="1"/>
      <w:numFmt w:val="bullet"/>
      <w:lvlText w:val="▪"/>
      <w:lvlJc w:val="left"/>
      <w:pPr>
        <w:ind w:left="6480" w:hanging="360"/>
      </w:pPr>
    </w:lvl>
  </w:abstractNum>
  <w:abstractNum w:abstractNumId="1">
    <w:multiLevelType w:val="hybrid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abstractNumId w:val="0"/>
  </w:num>
</w:numbering>
</file>

<file path=word/styles.xml><?xml version="1.0" encoding="utf-8"?>
<w:styles xmlns:w="http://schemas.openxmlformats.org/wordprocessingml/2006/main">
  <w:docDefaults>
    <w:rPrDefault>
      <w:rPr>
        <w:rFonts w:ascii="Calibri" w:hAnsi="Calibri" w:eastAsia="Calibri" w:cs="Calibri"/>
        <w:sz w:val="22"/>
        <w:szCs w:val="22"/>
        <w:lang w:val="en-US"/>
      </w:rPr>
    </w:rPrDefault>
    <w:pPrDefault>
      <w:pPr>
        <w:spacing w:after="160" w:line="259" w:lineRule="auto"/>
      </w:pPr>
    </w:pPrDefault>
  </w:docDefaults>
  <w:style w:type="paragraph" w:default="1" w:styleId="Normal">
    <w:name w:val="Normal"/>
    <w:qFormat/>
  </w:style>
  <w:style w:type="paragraph" w:styleId="Heading1">
    <w:name w:val="heading 1"/>
    <w:basedOn w:val="Normal"/>
    <w:next w:val="Normal"/>
    <w:qFormat/>
    <w:pPr>
      <w:keepNext/>
      <w:spacing w:before="360" w:after="120"/>
      <w:outlineLvl w:val="0"/>
    </w:pPr>
    <w:rPr>
      <w:b/>
      <w:sz w:val="32"/>
    </w:rPr>
  </w:style>
  <w:style w:type="paragraph" w:styleId="Heading2">
    <w:name w:val="heading 2"/>
    <w:basedOn w:val="Normal"/>
    <w:next w:val="Normal"/>
    <w:qFormat/>
    <w:pPr>
      <w:keepNext/>
      <w:spacing w:before="280" w:after="100"/>
      <w:outlineLvl w:val="1"/>
    </w:pPr>
    <w:rPr>
      <w:b/>
      <w:sz w:val="26"/>
    </w:rPr>
  </w:style>
  <w:style w:type="paragraph" w:styleId="Heading3">
    <w:name w:val="heading 3"/>
    <w:basedOn w:val="Normal"/>
    <w:next w:val="Normal"/>
    <w:qFormat/>
    <w:pPr>
      <w:keepNext/>
      <w:spacing w:before="240" w:after="80"/>
      <w:outlineLvl w:val="2"/>
    </w:pPr>
    <w:rPr>
      <w:b/>
      <w:sz w:val="24"/>
    </w:rPr>
  </w:style>
  <w:style w:type="paragraph" w:styleId="Heading4">
    <w:name w:val="heading 4"/>
    <w:basedOn w:val="Normal"/>
    <w:next w:val="Normal"/>
    <w:qFormat/>
    <w:pPr>
      <w:keepNext/>
      <w:outlineLvl w:val="3"/>
    </w:pPr>
    <w:rPr>
      <w:b/>
      <w:sz w:val="22"/>
    </w:rPr>
  </w:style>
  <w:style w:type="paragraph" w:styleId="Heading5">
    <w:name w:val="heading 5"/>
    <w:basedOn w:val="Normal"/>
    <w:next w:val="Normal"/>
    <w:qFormat/>
    <w:pPr>
      <w:keepNext/>
      <w:outlineLvl w:val="4"/>
    </w:pPr>
    <w:rPr>
      <w:b/>
      <w:sz w:val="22"/>
    </w:rPr>
  </w:style>
  <w:style w:type="paragraph" w:styleId="Heading6">
    <w:name w:val="heading 6"/>
    <w:basedOn w:val="Normal"/>
    <w:next w:val="Normal"/>
    <w:qFormat/>
    <w:pPr>
      <w:keepNext/>
      <w:outlineLvl w:val="5"/>
    </w:pPr>
    <w:rPr>
      <w:i/>
      <w:sz w:val="22"/>
    </w:rPr>
  </w:style>
  <w:style w:type="paragraph" w:styleId="Title">
    <w:name w:val="Title"/>
    <w:basedOn w:val="Normal"/>
    <w:next w:val="Normal"/>
    <w:qFormat/>
    <w:pPr>
      <w:spacing w:after="80"/>
      <w:contextualSpacing/>
    </w:pPr>
    <w:rPr>
      <w:sz w:val="56"/>
    </w:rPr>
  </w:style>
  <w:style w:type="paragraph" w:styleId="Quote">
    <w:name w:val="Quote"/>
    <w:basedOn w:val="Normal"/>
    <w:qFormat/>
    <w:pPr>
      <w:ind w:left="720" w:right="720"/>
      <w:pBdr>
        <w:left w:val="single" w:sz="12" w:space="8" w:color="A0A0A0"/>
      </w:pBdr>
    </w:pPr>
    <w:rPr>
      <w:i/>
      <w:color w:val="404040"/>
    </w:rPr>
  </w:style>
  <w:style w:type="paragraph" w:styleId="Code">
    <w:name w:val="Code"/>
    <w:basedOn w:val="Normal"/>
    <w:link w:val="CodeChar"/>
    <w:pPr>
      <w:spacing w:after="0" w:line="240" w:lineRule="auto"/>
      <w:contextualSpacing/>
      <w:shd w:val="clear" w:color="auto" w:fill="F5F5F5"/>
    </w:pPr>
    <w:rPr>
      <w:rFonts w:ascii="Consolas" w:hAnsi="Consolas" w:eastAsia="Consolas" w:cs="Consolas"/>
      <w:sz w:val="20"/>
    </w:rPr>
  </w:style>
  <w:style w:type="character" w:styleId="CodeChar">
    <w:name w:val="Code Char"/>
    <w:link w:val="Code"/>
    <w:rPr>
      <w:rFonts w:ascii="Consolas" w:hAnsi="Consolas" w:eastAsia="Consolas" w:cs="Consolas"/>
      <w:sz w:val="20"/>
      <w:shd w:val="clear" w:color="auto" w:fill="F5F5F5"/>
    </w:rPr>
  </w:style>
  <w:style w:type="paragraph" w:styleId="ListParagraph">
    <w:name w:val="List Paragraph"/>
    <w:basedOn w:val="Normal"/>
    <w:qFormat/>
    <w:pPr>
      <w:ind w:left="720"/>
      <w:contextualSpacing/>
    </w:pPr>
  </w:style>
  <w:style w:type="character" w:styleId="Hyperlink">
    <w:name w:val="Hyperlink"/>
    <w:rPr>
      <w:color w:val="0563C1"/>
      <w:u w:val="single"/>
    </w:rPr>
  </w:style>
  <w:style w:type="paragraph" w:styleId="CommentText">
    <w:name w:val="annotation text"/>
    <w:basedOn w:val="Normal"/>
    <w:link w:val="CommentTextChar"/>
    <w:pPr>
      <w:spacing w:line="240" w:lineRule="auto"/>
    </w:pPr>
    <w:rPr>
      <w:sz w:val="20"/>
      <w:szCs w:val="20"/>
    </w:rPr>
  </w:style>
  <w:style w:type="character" w:styleId="CommentReference">
    <w:name w:val="annotation reference"/>
    <w:rPr>
      <w:sz w:val="16"/>
      <w:szCs w:val="16"/>
    </w:rPr>
  </w:style>
  <w:style w:type="table" w:default="1" w:styleId="TableNormal">
    <w:name w:val="Normal Table"/>
    <w:tblPr>
      <w:tblInd w:w="0" w:type="dxa"/>
      <w:tblCellMar>
        <w:top w:w="0" w:type="dxa"/>
        <w:left w:w="108" w:type="dxa"/>
        <w:bottom w:w="0" w:type="dxa"/>
        <w:right w:w="108" w:type="dxa"/>
      </w:tblCellMar>
    </w:tbl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s>
</file>

<file path=docProps/app.xml><?xml version="1.0" encoding="utf-8"?>
<Properties xmlns="http://schemas.openxmlformats.org/officeDocument/2006/extended-properties">
  <Application>Claude Docs</Application>
  <AppVersion>2.0000</AppVersion>
</Properties>
</file>

<file path=docProps/core.xml><?xml version="1.0" encoding="utf-8"?>
<cp:coreProperties xmlns:cp="http://schemas.openxmlformats.org/package/2006/metadata/core-properties" xmlns:dc="http://purl.org/dc/elements/1.1/" xmlns:dcterms="http://purl.org/dc/terms/" xmlns:xsi="http://www.w3.org/2001/XMLSchema-instance">
  <dc:title>KTSC Parent Guidelines – Junior Competitive Tennis</dc:title>
  <dc:description>Claude Docs node/723609ba-203c@5 docx-w5</dc:description>
  <cp:revision>5</cp:revision>
</cp:coreProperties>
</file>